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jc w:val="left"/>
        <w:rPr>
          <w:rFonts w:hint="default"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附件1</w:t>
      </w:r>
    </w:p>
    <w:p>
      <w:pPr>
        <w:numPr>
          <w:ilvl w:val="0"/>
          <w:numId w:val="0"/>
        </w:numPr>
        <w:jc w:val="center"/>
        <w:rPr>
          <w:rFonts w:hint="eastAsia" w:ascii="方正小标宋_GBK" w:hAnsi="方正小标宋_GBK" w:eastAsia="方正小标宋_GBK" w:cs="方正小标宋_GBK"/>
          <w:b w:val="0"/>
          <w:bCs w:val="0"/>
          <w:sz w:val="36"/>
          <w:szCs w:val="36"/>
          <w:lang w:val="en-US" w:eastAsia="zh-CN"/>
        </w:rPr>
      </w:pPr>
      <w:r>
        <w:rPr>
          <w:rFonts w:hint="eastAsia" w:ascii="方正小标宋_GBK" w:hAnsi="方正小标宋_GBK" w:eastAsia="方正小标宋_GBK" w:cs="方正小标宋_GBK"/>
          <w:b w:val="0"/>
          <w:bCs w:val="0"/>
          <w:sz w:val="36"/>
          <w:szCs w:val="36"/>
          <w:lang w:val="en-US" w:eastAsia="zh-CN"/>
        </w:rPr>
        <w:t>“诵读中国”经典诵读大赛方案</w:t>
      </w:r>
    </w:p>
    <w:p>
      <w:pPr>
        <w:numPr>
          <w:ilvl w:val="0"/>
          <w:numId w:val="0"/>
        </w:numPr>
        <w:jc w:val="center"/>
        <w:rPr>
          <w:rFonts w:hint="eastAsia" w:ascii="黑体" w:hAnsi="黑体" w:eastAsia="黑体" w:cs="黑体"/>
          <w:b w:val="0"/>
          <w:bCs w:val="0"/>
          <w:sz w:val="36"/>
          <w:szCs w:val="36"/>
          <w:lang w:val="en-US" w:eastAsia="zh-CN"/>
        </w:rPr>
      </w:pPr>
    </w:p>
    <w:p>
      <w:pPr>
        <w:keepNext w:val="0"/>
        <w:keepLines w:val="0"/>
        <w:widowControl/>
        <w:numPr>
          <w:ilvl w:val="0"/>
          <w:numId w:val="0"/>
        </w:numPr>
        <w:suppressLineNumbers w:val="0"/>
        <w:ind w:firstLine="620" w:firstLineChars="200"/>
        <w:jc w:val="both"/>
        <w:rPr>
          <w:rFonts w:ascii="仿宋_GB2312" w:hAnsi="仿宋_GB2312" w:eastAsia="仿宋_GB2312" w:cs="仿宋_GB2312"/>
          <w:color w:val="000000"/>
          <w:kern w:val="0"/>
          <w:sz w:val="31"/>
          <w:szCs w:val="31"/>
          <w:lang w:val="en-US" w:eastAsia="zh-CN" w:bidi="ar"/>
        </w:rPr>
      </w:pPr>
      <w:r>
        <w:rPr>
          <w:rFonts w:ascii="仿宋_GB2312" w:hAnsi="仿宋_GB2312" w:eastAsia="仿宋_GB2312" w:cs="仿宋_GB2312"/>
          <w:color w:val="000000"/>
          <w:kern w:val="0"/>
          <w:sz w:val="31"/>
          <w:szCs w:val="31"/>
          <w:lang w:val="en-US" w:eastAsia="zh-CN" w:bidi="ar"/>
        </w:rPr>
        <w:t>诵读古今经典，弘扬中国精神。为深化全民阅读活动开展，引领社会大众亲近中华经典，传承弘扬中华优秀文化，</w:t>
      </w:r>
      <w:r>
        <w:rPr>
          <w:rFonts w:hint="eastAsia" w:ascii="仿宋_GB2312" w:hAnsi="仿宋_GB2312" w:eastAsia="仿宋_GB2312" w:cs="仿宋_GB2312"/>
          <w:color w:val="000000"/>
          <w:kern w:val="0"/>
          <w:sz w:val="31"/>
          <w:szCs w:val="31"/>
          <w:lang w:val="en-US" w:eastAsia="zh-CN" w:bidi="ar"/>
        </w:rPr>
        <w:t>齐心共书强国新篇章，</w:t>
      </w:r>
      <w:r>
        <w:rPr>
          <w:rFonts w:ascii="仿宋_GB2312" w:hAnsi="仿宋_GB2312" w:eastAsia="仿宋_GB2312" w:cs="仿宋_GB2312"/>
          <w:color w:val="000000"/>
          <w:kern w:val="0"/>
          <w:sz w:val="31"/>
          <w:szCs w:val="31"/>
          <w:lang w:val="en-US" w:eastAsia="zh-CN" w:bidi="ar"/>
        </w:rPr>
        <w:t>结合工作实际，制定“诵读中国”经典诵读大赛方案如下。</w:t>
      </w:r>
    </w:p>
    <w:p>
      <w:pPr>
        <w:keepNext w:val="0"/>
        <w:keepLines w:val="0"/>
        <w:widowControl/>
        <w:numPr>
          <w:ilvl w:val="0"/>
          <w:numId w:val="1"/>
        </w:numPr>
        <w:suppressLineNumbers w:val="0"/>
        <w:ind w:firstLine="620" w:firstLineChars="200"/>
        <w:jc w:val="both"/>
        <w:rPr>
          <w:rFonts w:hint="eastAsia" w:ascii="黑体" w:hAnsi="黑体" w:eastAsia="黑体" w:cs="黑体"/>
          <w:color w:val="000000"/>
          <w:kern w:val="0"/>
          <w:sz w:val="31"/>
          <w:szCs w:val="31"/>
          <w:lang w:val="en-US" w:eastAsia="zh-CN" w:bidi="ar"/>
        </w:rPr>
      </w:pPr>
      <w:r>
        <w:rPr>
          <w:rFonts w:hint="eastAsia" w:ascii="黑体" w:hAnsi="黑体" w:eastAsia="黑体" w:cs="黑体"/>
          <w:color w:val="000000"/>
          <w:kern w:val="0"/>
          <w:sz w:val="31"/>
          <w:szCs w:val="31"/>
          <w:lang w:val="en-US" w:eastAsia="zh-CN" w:bidi="ar"/>
        </w:rPr>
        <w:t>参赛对象及组别</w:t>
      </w:r>
    </w:p>
    <w:p>
      <w:pPr>
        <w:keepNext w:val="0"/>
        <w:keepLines w:val="0"/>
        <w:widowControl/>
        <w:numPr>
          <w:ilvl w:val="0"/>
          <w:numId w:val="0"/>
        </w:numPr>
        <w:suppressLineNumbers w:val="0"/>
        <w:ind w:firstLine="620" w:firstLineChars="200"/>
        <w:jc w:val="both"/>
        <w:rPr>
          <w:rFonts w:hint="eastAsia"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参赛对象为全校在校学生（含研究生、留学生）、教职工。</w:t>
      </w:r>
    </w:p>
    <w:p>
      <w:pPr>
        <w:keepNext w:val="0"/>
        <w:keepLines w:val="0"/>
        <w:widowControl/>
        <w:numPr>
          <w:ilvl w:val="0"/>
          <w:numId w:val="0"/>
        </w:numPr>
        <w:suppressLineNumbers w:val="0"/>
        <w:ind w:firstLine="620" w:firstLineChars="200"/>
        <w:jc w:val="both"/>
        <w:rPr>
          <w:rFonts w:hint="default"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分为大学生组（含研究生）、留学生组（在川留学生）、教师组三个组别。</w:t>
      </w:r>
    </w:p>
    <w:p>
      <w:pPr>
        <w:keepNext w:val="0"/>
        <w:keepLines w:val="0"/>
        <w:widowControl/>
        <w:numPr>
          <w:ilvl w:val="0"/>
          <w:numId w:val="1"/>
        </w:numPr>
        <w:suppressLineNumbers w:val="0"/>
        <w:ind w:firstLine="620" w:firstLineChars="200"/>
        <w:jc w:val="both"/>
        <w:rPr>
          <w:rFonts w:hint="eastAsia" w:ascii="黑体" w:hAnsi="黑体" w:eastAsia="黑体" w:cs="黑体"/>
          <w:color w:val="000000"/>
          <w:kern w:val="0"/>
          <w:sz w:val="31"/>
          <w:szCs w:val="31"/>
          <w:lang w:val="en-US" w:eastAsia="zh-CN" w:bidi="ar"/>
        </w:rPr>
      </w:pPr>
      <w:r>
        <w:rPr>
          <w:rFonts w:hint="eastAsia" w:ascii="黑体" w:hAnsi="黑体" w:eastAsia="黑体" w:cs="黑体"/>
          <w:color w:val="000000"/>
          <w:kern w:val="0"/>
          <w:sz w:val="31"/>
          <w:szCs w:val="31"/>
          <w:lang w:val="en-US" w:eastAsia="zh-CN" w:bidi="ar"/>
        </w:rPr>
        <w:t>参赛组织</w:t>
      </w:r>
    </w:p>
    <w:p>
      <w:pPr>
        <w:keepNext w:val="0"/>
        <w:keepLines w:val="0"/>
        <w:widowControl/>
        <w:numPr>
          <w:ilvl w:val="0"/>
          <w:numId w:val="0"/>
        </w:numPr>
        <w:suppressLineNumbers w:val="0"/>
        <w:ind w:firstLine="620" w:firstLineChars="200"/>
        <w:jc w:val="both"/>
        <w:rPr>
          <w:rFonts w:hint="default"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“诵读中国”经典诵读大赛由党委宣传部承办</w:t>
      </w:r>
    </w:p>
    <w:p>
      <w:pPr>
        <w:keepNext w:val="0"/>
        <w:keepLines w:val="0"/>
        <w:widowControl/>
        <w:numPr>
          <w:ilvl w:val="0"/>
          <w:numId w:val="1"/>
        </w:numPr>
        <w:suppressLineNumbers w:val="0"/>
        <w:ind w:firstLine="620" w:firstLineChars="200"/>
        <w:jc w:val="left"/>
        <w:rPr>
          <w:rFonts w:hint="eastAsia" w:ascii="黑体" w:hAnsi="黑体" w:eastAsia="黑体" w:cs="黑体"/>
          <w:color w:val="000000"/>
          <w:kern w:val="0"/>
          <w:sz w:val="31"/>
          <w:szCs w:val="31"/>
          <w:lang w:val="en-US" w:eastAsia="zh-CN" w:bidi="ar"/>
        </w:rPr>
      </w:pPr>
      <w:r>
        <w:rPr>
          <w:rFonts w:hint="eastAsia" w:ascii="黑体" w:hAnsi="黑体" w:eastAsia="黑体" w:cs="黑体"/>
          <w:color w:val="000000"/>
          <w:kern w:val="0"/>
          <w:sz w:val="31"/>
          <w:szCs w:val="31"/>
          <w:lang w:val="en-US" w:eastAsia="zh-CN" w:bidi="ar"/>
        </w:rPr>
        <w:t>参赛要求</w:t>
      </w:r>
    </w:p>
    <w:p>
      <w:pPr>
        <w:keepNext w:val="0"/>
        <w:keepLines w:val="0"/>
        <w:widowControl/>
        <w:numPr>
          <w:ilvl w:val="0"/>
          <w:numId w:val="2"/>
        </w:numPr>
        <w:suppressLineNumbers w:val="0"/>
        <w:ind w:firstLine="620" w:firstLineChars="20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内容要求</w:t>
      </w:r>
    </w:p>
    <w:p>
      <w:pPr>
        <w:keepNext w:val="0"/>
        <w:keepLines w:val="0"/>
        <w:widowControl/>
        <w:numPr>
          <w:ilvl w:val="0"/>
          <w:numId w:val="0"/>
        </w:numPr>
        <w:suppressLineNumbers w:val="0"/>
        <w:ind w:firstLine="620" w:firstLineChars="200"/>
        <w:jc w:val="both"/>
        <w:rPr>
          <w:rFonts w:hint="eastAsia"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我国古代、近现代和当代有社会影响力和典范价值的，体现中华优秀文化的经典诗词、文章和优秀图书内容节选。当代作品应已正式出版或由省级以上广播电视等主流媒体公开发布或发表。诵读文本主体前后可根据需要增加总计不超过200 字的过渡语（计入总时长）。改编、网络以及自创文本不在征集之列。</w:t>
      </w:r>
    </w:p>
    <w:p>
      <w:pPr>
        <w:keepNext w:val="0"/>
        <w:keepLines w:val="0"/>
        <w:widowControl/>
        <w:numPr>
          <w:ilvl w:val="0"/>
          <w:numId w:val="2"/>
        </w:numPr>
        <w:suppressLineNumbers w:val="0"/>
        <w:ind w:firstLine="620" w:firstLineChars="20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形式要求</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40" w:lineRule="exact"/>
        <w:ind w:firstLine="620" w:firstLineChars="200"/>
        <w:jc w:val="both"/>
        <w:textAlignment w:val="auto"/>
        <w:rPr>
          <w:rFonts w:hint="eastAsia"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参赛作品要求为2024年新创作录制的视频，高清1920*1080横屏拍摄，格式为MP4，长度为3-6 分钟，大小不超过700MB，图像、声音清晰，不抖动、无噪音。视频作品必须同期录音，不得后期配音。</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40" w:lineRule="exact"/>
        <w:ind w:firstLine="620" w:firstLineChars="200"/>
        <w:jc w:val="both"/>
        <w:textAlignment w:val="auto"/>
        <w:rPr>
          <w:rFonts w:hint="eastAsia"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作品视频不能出现参赛选手和指导教师的姓名、学院等信息。</w:t>
      </w:r>
      <w:r>
        <w:rPr>
          <w:rFonts w:hint="default" w:ascii="仿宋_GB2312" w:hAnsi="仿宋_GB2312" w:eastAsia="仿宋_GB2312" w:cs="仿宋_GB2312"/>
          <w:color w:val="000000"/>
          <w:kern w:val="0"/>
          <w:sz w:val="31"/>
          <w:szCs w:val="31"/>
          <w:lang w:val="en-US" w:eastAsia="zh-CN" w:bidi="ar"/>
        </w:rPr>
        <w:t>视频文字建议使用方正字库字体或其他有版权的字体，</w:t>
      </w:r>
      <w:r>
        <w:rPr>
          <w:rFonts w:hint="eastAsia" w:ascii="仿宋_GB2312" w:hAnsi="仿宋_GB2312" w:eastAsia="仿宋_GB2312" w:cs="仿宋_GB2312"/>
          <w:color w:val="000000"/>
          <w:kern w:val="0"/>
          <w:sz w:val="31"/>
          <w:szCs w:val="31"/>
          <w:lang w:val="en-US" w:eastAsia="zh-CN" w:bidi="ar"/>
        </w:rPr>
        <w:t>视频中不得使用未经肖像权人同意的肖像，不得使用未经授权的图片、视频和音频，不得出现与诵读大赛无关的条幅、角标等。</w:t>
      </w:r>
    </w:p>
    <w:p>
      <w:pPr>
        <w:keepNext w:val="0"/>
        <w:keepLines w:val="0"/>
        <w:widowControl/>
        <w:numPr>
          <w:ilvl w:val="0"/>
          <w:numId w:val="2"/>
        </w:numPr>
        <w:suppressLineNumbers w:val="0"/>
        <w:ind w:firstLine="620" w:firstLineChars="20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其他要求</w:t>
      </w:r>
    </w:p>
    <w:p>
      <w:pPr>
        <w:keepNext w:val="0"/>
        <w:keepLines w:val="0"/>
        <w:pageBreakBefore w:val="0"/>
        <w:widowControl/>
        <w:suppressLineNumbers w:val="0"/>
        <w:kinsoku/>
        <w:wordWrap/>
        <w:overflowPunct/>
        <w:topLinePunct w:val="0"/>
        <w:autoSpaceDE/>
        <w:autoSpaceDN/>
        <w:bidi w:val="0"/>
        <w:adjustRightInd/>
        <w:snapToGrid/>
        <w:spacing w:line="540" w:lineRule="exact"/>
        <w:ind w:firstLine="620" w:firstLineChars="200"/>
        <w:jc w:val="left"/>
        <w:textAlignment w:val="auto"/>
        <w:rPr>
          <w:rFonts w:hint="eastAsia" w:ascii="仿宋_GB2312" w:hAnsi="仿宋_GB2312" w:eastAsia="仿宋_GB2312" w:cs="仿宋_GB2312"/>
          <w:color w:val="000000"/>
          <w:kern w:val="0"/>
          <w:sz w:val="31"/>
          <w:szCs w:val="31"/>
          <w:lang w:val="en-US" w:eastAsia="zh-CN" w:bidi="ar"/>
        </w:rPr>
      </w:pPr>
      <w:r>
        <w:rPr>
          <w:rFonts w:hint="default" w:ascii="仿宋_GB2312" w:hAnsi="仿宋_GB2312" w:eastAsia="仿宋_GB2312" w:cs="仿宋_GB2312"/>
          <w:color w:val="000000"/>
          <w:kern w:val="0"/>
          <w:sz w:val="31"/>
          <w:szCs w:val="31"/>
          <w:lang w:val="en-US" w:eastAsia="zh-CN" w:bidi="ar"/>
        </w:rPr>
        <w:t>作品可借助音乐、服装等手段融合展现诵读内容。鼓励以</w:t>
      </w:r>
      <w:r>
        <w:rPr>
          <w:rFonts w:hint="eastAsia" w:ascii="仿宋_GB2312" w:hAnsi="仿宋_GB2312" w:eastAsia="仿宋_GB2312" w:cs="仿宋_GB2312"/>
          <w:color w:val="000000"/>
          <w:kern w:val="0"/>
          <w:sz w:val="31"/>
          <w:szCs w:val="31"/>
          <w:lang w:val="en-US" w:eastAsia="zh-CN" w:bidi="ar"/>
        </w:rPr>
        <w:t>团队形式诵读，团队人数不超过20人。</w:t>
      </w:r>
    </w:p>
    <w:p>
      <w:pPr>
        <w:keepNext w:val="0"/>
        <w:keepLines w:val="0"/>
        <w:pageBreakBefore w:val="0"/>
        <w:widowControl/>
        <w:suppressLineNumbers w:val="0"/>
        <w:kinsoku/>
        <w:wordWrap/>
        <w:overflowPunct/>
        <w:topLinePunct w:val="0"/>
        <w:autoSpaceDE/>
        <w:autoSpaceDN/>
        <w:bidi w:val="0"/>
        <w:adjustRightInd/>
        <w:snapToGrid/>
        <w:spacing w:line="540" w:lineRule="exact"/>
        <w:ind w:firstLine="620" w:firstLineChars="200"/>
        <w:jc w:val="left"/>
        <w:textAlignment w:val="auto"/>
        <w:rPr>
          <w:rFonts w:hint="default" w:ascii="黑体" w:hAnsi="黑体" w:eastAsia="黑体" w:cs="黑体"/>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每人最多可参与个人或团队诵读作品1个。10人以下（含10人）作品可填写参赛者个人姓名，10人以上作品填写参赛团</w:t>
      </w:r>
      <w:r>
        <w:rPr>
          <w:rFonts w:ascii="仿宋_GB2312" w:hAnsi="仿宋_GB2312" w:eastAsia="仿宋_GB2312" w:cs="仿宋_GB2312"/>
          <w:color w:val="000000"/>
          <w:kern w:val="0"/>
          <w:sz w:val="31"/>
          <w:szCs w:val="31"/>
          <w:lang w:val="en-US" w:eastAsia="zh-CN" w:bidi="ar"/>
        </w:rPr>
        <w:t>队</w:t>
      </w:r>
      <w:r>
        <w:rPr>
          <w:rFonts w:hint="eastAsia" w:ascii="仿宋_GB2312" w:hAnsi="仿宋_GB2312" w:eastAsia="仿宋_GB2312" w:cs="仿宋_GB2312"/>
          <w:color w:val="000000"/>
          <w:kern w:val="0"/>
          <w:sz w:val="31"/>
          <w:szCs w:val="31"/>
          <w:lang w:val="en-US" w:eastAsia="zh-CN" w:bidi="ar"/>
        </w:rPr>
        <w:t>名称，每个作品指导教师不超过2人，</w:t>
      </w:r>
      <w:r>
        <w:rPr>
          <w:rFonts w:ascii="仿宋_GB2312" w:hAnsi="仿宋_GB2312" w:eastAsia="仿宋_GB2312" w:cs="仿宋_GB2312"/>
          <w:color w:val="000000"/>
          <w:kern w:val="0"/>
          <w:sz w:val="31"/>
          <w:szCs w:val="31"/>
          <w:lang w:val="en-US" w:eastAsia="zh-CN" w:bidi="ar"/>
        </w:rPr>
        <w:t>同一作品的参赛者不得同时署名该作品的指导教师。</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540" w:lineRule="exact"/>
        <w:ind w:firstLine="620" w:firstLineChars="200"/>
        <w:jc w:val="left"/>
        <w:textAlignment w:val="auto"/>
        <w:rPr>
          <w:rFonts w:hint="eastAsia" w:ascii="黑体" w:hAnsi="黑体" w:eastAsia="黑体" w:cs="黑体"/>
          <w:color w:val="000000"/>
          <w:kern w:val="0"/>
          <w:sz w:val="31"/>
          <w:szCs w:val="31"/>
          <w:lang w:val="en-US" w:eastAsia="zh-CN" w:bidi="ar"/>
        </w:rPr>
      </w:pPr>
      <w:r>
        <w:rPr>
          <w:rFonts w:hint="eastAsia" w:ascii="黑体" w:hAnsi="黑体" w:eastAsia="黑体" w:cs="黑体"/>
          <w:color w:val="000000"/>
          <w:kern w:val="0"/>
          <w:sz w:val="31"/>
          <w:szCs w:val="31"/>
          <w:lang w:val="en-US" w:eastAsia="zh-CN" w:bidi="ar"/>
        </w:rPr>
        <w:t>奖项设置</w:t>
      </w:r>
    </w:p>
    <w:p>
      <w:pPr>
        <w:keepNext w:val="0"/>
        <w:keepLines w:val="0"/>
        <w:pageBreakBefore w:val="0"/>
        <w:widowControl/>
        <w:suppressLineNumbers w:val="0"/>
        <w:kinsoku/>
        <w:wordWrap/>
        <w:overflowPunct/>
        <w:topLinePunct w:val="0"/>
        <w:autoSpaceDE/>
        <w:autoSpaceDN/>
        <w:bidi w:val="0"/>
        <w:adjustRightInd/>
        <w:snapToGrid/>
        <w:spacing w:line="540" w:lineRule="exact"/>
        <w:ind w:firstLine="620" w:firstLineChars="200"/>
        <w:jc w:val="left"/>
        <w:textAlignment w:val="auto"/>
        <w:rPr>
          <w:rFonts w:hint="default" w:ascii="仿宋_GB2312" w:hAnsi="仿宋_GB2312" w:eastAsia="仿宋_GB2312" w:cs="仿宋_GB2312"/>
          <w:color w:val="000000"/>
          <w:kern w:val="0"/>
          <w:sz w:val="31"/>
          <w:szCs w:val="31"/>
          <w:lang w:val="en-US" w:eastAsia="zh-CN" w:bidi="ar"/>
        </w:rPr>
      </w:pPr>
      <w:r>
        <w:rPr>
          <w:rFonts w:hint="eastAsia" w:ascii="仿宋_GB2312" w:hAnsi="仿宋_GB2312" w:eastAsia="仿宋_GB2312" w:cs="仿宋_GB2312"/>
          <w:color w:val="000000"/>
          <w:kern w:val="0"/>
          <w:sz w:val="31"/>
          <w:szCs w:val="31"/>
          <w:lang w:val="en-US" w:eastAsia="zh-CN" w:bidi="ar"/>
        </w:rPr>
        <w:t>各组别设置一、二、三等奖和优秀奖，学校遴选推荐校级获奖优秀作品参加省级比赛。</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line="540" w:lineRule="exact"/>
        <w:ind w:firstLine="620" w:firstLineChars="200"/>
        <w:jc w:val="left"/>
        <w:textAlignment w:val="auto"/>
        <w:rPr>
          <w:rFonts w:hint="eastAsia" w:ascii="黑体" w:hAnsi="黑体" w:eastAsia="黑体" w:cs="黑体"/>
          <w:color w:val="000000"/>
          <w:kern w:val="0"/>
          <w:sz w:val="31"/>
          <w:szCs w:val="31"/>
          <w:lang w:val="en-US" w:eastAsia="zh-CN" w:bidi="ar"/>
        </w:rPr>
      </w:pPr>
      <w:r>
        <w:rPr>
          <w:rFonts w:hint="eastAsia" w:ascii="黑体" w:hAnsi="黑体" w:eastAsia="黑体" w:cs="黑体"/>
          <w:color w:val="000000"/>
          <w:kern w:val="0"/>
          <w:sz w:val="31"/>
          <w:szCs w:val="31"/>
          <w:lang w:val="en-US" w:eastAsia="zh-CN" w:bidi="ar"/>
        </w:rPr>
        <w:t>作品报送</w:t>
      </w:r>
    </w:p>
    <w:p>
      <w:pPr>
        <w:keepNext w:val="0"/>
        <w:keepLines w:val="0"/>
        <w:pageBreakBefore w:val="0"/>
        <w:widowControl/>
        <w:numPr>
          <w:ilvl w:val="0"/>
          <w:numId w:val="3"/>
        </w:numPr>
        <w:suppressLineNumbers w:val="0"/>
        <w:kinsoku/>
        <w:wordWrap/>
        <w:overflowPunct/>
        <w:topLinePunct w:val="0"/>
        <w:autoSpaceDE/>
        <w:autoSpaceDN/>
        <w:bidi w:val="0"/>
        <w:adjustRightInd/>
        <w:snapToGrid/>
        <w:spacing w:line="540" w:lineRule="exact"/>
        <w:ind w:firstLine="620" w:firstLineChars="200"/>
        <w:jc w:val="left"/>
        <w:textAlignment w:val="auto"/>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报送内容：以单位报送加盖参赛者单位公章的纸质报送表；作品视频U盘（每个作品应保存在单独的文件夹内，文件夹中应包含电子版报送表、作品视频）</w:t>
      </w:r>
    </w:p>
    <w:p>
      <w:pPr>
        <w:keepNext w:val="0"/>
        <w:keepLines w:val="0"/>
        <w:pageBreakBefore w:val="0"/>
        <w:widowControl/>
        <w:numPr>
          <w:ilvl w:val="0"/>
          <w:numId w:val="3"/>
        </w:numPr>
        <w:suppressLineNumbers w:val="0"/>
        <w:kinsoku/>
        <w:wordWrap/>
        <w:overflowPunct/>
        <w:topLinePunct w:val="0"/>
        <w:autoSpaceDE/>
        <w:autoSpaceDN/>
        <w:bidi w:val="0"/>
        <w:adjustRightInd/>
        <w:snapToGrid/>
        <w:spacing w:line="540" w:lineRule="exact"/>
        <w:ind w:firstLine="620" w:firstLineChars="200"/>
        <w:jc w:val="left"/>
        <w:textAlignment w:val="auto"/>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报送时间：即日起至6月11日</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40" w:lineRule="exact"/>
        <w:ind w:firstLine="620" w:firstLineChars="200"/>
        <w:jc w:val="left"/>
        <w:textAlignment w:val="auto"/>
        <w:rPr>
          <w:rFonts w:hint="eastAsia" w:ascii="黑体" w:hAnsi="黑体" w:eastAsia="黑体" w:cs="黑体"/>
          <w:b w:val="0"/>
          <w:bCs w:val="0"/>
          <w:sz w:val="32"/>
          <w:szCs w:val="32"/>
          <w:lang w:val="en-US" w:eastAsia="zh-CN"/>
        </w:rPr>
      </w:pPr>
      <w:r>
        <w:rPr>
          <w:rFonts w:hint="eastAsia" w:ascii="仿宋" w:hAnsi="仿宋" w:eastAsia="仿宋" w:cs="仿宋"/>
          <w:color w:val="000000"/>
          <w:kern w:val="0"/>
          <w:sz w:val="31"/>
          <w:szCs w:val="31"/>
          <w:lang w:val="en-US" w:eastAsia="zh-CN" w:bidi="ar"/>
        </w:rPr>
        <w:t>（三）报送地址：办公楼410办公室；联系人：刘薇老师，028-87721996。</w:t>
      </w:r>
      <w:r>
        <w:rPr>
          <w:rFonts w:hint="eastAsia" w:ascii="黑体" w:hAnsi="黑体" w:eastAsia="黑体" w:cs="黑体"/>
          <w:b w:val="0"/>
          <w:bCs w:val="0"/>
          <w:sz w:val="32"/>
          <w:szCs w:val="32"/>
          <w:lang w:val="en-US" w:eastAsia="zh-CN"/>
        </w:rPr>
        <w:t xml:space="preserve"> </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Arial Unicode MS"/>
    <w:panose1 w:val="03000509000000000000"/>
    <w:charset w:val="86"/>
    <w:family w:val="auto"/>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FD3EDE"/>
    <w:multiLevelType w:val="singleLevel"/>
    <w:tmpl w:val="81FD3EDE"/>
    <w:lvl w:ilvl="0" w:tentative="0">
      <w:start w:val="1"/>
      <w:numFmt w:val="chineseCounting"/>
      <w:suff w:val="nothing"/>
      <w:lvlText w:val="%1、"/>
      <w:lvlJc w:val="left"/>
      <w:rPr>
        <w:rFonts w:hint="eastAsia"/>
      </w:rPr>
    </w:lvl>
  </w:abstractNum>
  <w:abstractNum w:abstractNumId="1">
    <w:nsid w:val="5B034203"/>
    <w:multiLevelType w:val="singleLevel"/>
    <w:tmpl w:val="5B034203"/>
    <w:lvl w:ilvl="0" w:tentative="0">
      <w:start w:val="1"/>
      <w:numFmt w:val="chineseCounting"/>
      <w:suff w:val="nothing"/>
      <w:lvlText w:val="（%1）"/>
      <w:lvlJc w:val="left"/>
      <w:rPr>
        <w:rFonts w:hint="eastAsia"/>
      </w:rPr>
    </w:lvl>
  </w:abstractNum>
  <w:abstractNum w:abstractNumId="2">
    <w:nsid w:val="7312ECB9"/>
    <w:multiLevelType w:val="singleLevel"/>
    <w:tmpl w:val="7312ECB9"/>
    <w:lvl w:ilvl="0" w:tentative="0">
      <w:start w:val="1"/>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RmN2MwZWQ3NmFkYjYxYmIzNmI5ZGI2YjBjZmYwZjgifQ=="/>
  </w:docVars>
  <w:rsids>
    <w:rsidRoot w:val="083321E2"/>
    <w:rsid w:val="017773C1"/>
    <w:rsid w:val="045E1F7D"/>
    <w:rsid w:val="083321E2"/>
    <w:rsid w:val="10C54393"/>
    <w:rsid w:val="446A4F5C"/>
    <w:rsid w:val="45524C7A"/>
    <w:rsid w:val="6259081E"/>
    <w:rsid w:val="64452325"/>
    <w:rsid w:val="724E0C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2024-05-22T09:10:00Z</dcterms:created>
  <dc:creator>hp</dc:creator>
  <cp:lastModifiedBy>hp</cp:lastModifiedBy>
  <dcterms:modified xsi:type="dcterms:W3CDTF">2024-05-22T09:11:16Z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DF91924706274F2BA4599FC0AAC7C564_11</vt:lpwstr>
  </property>
</Properties>
</file>